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88" w:lineRule="auto"/>
        <w:ind w:left="0" w:firstLine="0"/>
        <w:jc w:val="center"/>
      </w:pPr>
      <w:r>
        <w:rPr>
          <w:rFonts w:ascii="Arial" w:hAnsi="Arial" w:eastAsia="等线" w:cs="Arial"/>
          <w:b/>
          <w:sz w:val="22"/>
        </w:rPr>
        <w:cr/>
      </w:r>
    </w:p>
    <w:p>
      <w:pPr>
        <w:spacing w:before="120" w:after="120" w:line="288" w:lineRule="auto"/>
        <w:ind w:left="0" w:firstLine="0"/>
        <w:jc w:val="center"/>
      </w:pPr>
      <w:bookmarkStart w:id="7" w:name="_GoBack"/>
      <w:bookmarkEnd w:id="7"/>
    </w:p>
    <w:p>
      <w:pPr>
        <w:spacing w:line="720" w:lineRule="auto"/>
        <w:jc w:val="center"/>
        <w:rPr>
          <w:rFonts w:asciiTheme="minorHAnsi" w:hAnsiTheme="minorHAnsi" w:eastAsiaTheme="minorEastAsia" w:cstheme="minorBidi"/>
          <w:b/>
          <w:kern w:val="2"/>
          <w:sz w:val="44"/>
          <w:szCs w:val="20"/>
          <w:lang w:val="en-US" w:eastAsia="zh-CN" w:bidi="ar-SA"/>
        </w:rPr>
      </w:pPr>
    </w:p>
    <w:p>
      <w:pPr>
        <w:spacing w:line="360" w:lineRule="auto"/>
        <w:jc w:val="center"/>
        <w:rPr>
          <w:rFonts w:ascii="Times New Roman" w:hAnsi="Times New Roman" w:eastAsia="微软雅黑" w:cs="Times New Roman"/>
          <w:b/>
          <w:kern w:val="2"/>
          <w:sz w:val="52"/>
          <w:szCs w:val="28"/>
          <w:lang w:val="en-US" w:eastAsia="zh-CN" w:bidi="ar-SA"/>
        </w:rPr>
      </w:pPr>
      <w:r>
        <w:rPr>
          <w:rFonts w:ascii="Times New Roman" w:hAnsi="Times New Roman" w:eastAsia="微软雅黑" w:cs="Times New Roman"/>
          <w:b/>
          <w:kern w:val="2"/>
          <w:sz w:val="52"/>
          <w:szCs w:val="28"/>
          <w:lang w:val="en-US" w:eastAsia="zh-CN" w:bidi="ar-SA"/>
        </w:rPr>
        <w:t>202</w:t>
      </w:r>
      <w:r>
        <w:rPr>
          <w:rFonts w:hint="eastAsia" w:ascii="Times New Roman" w:hAnsi="Times New Roman" w:eastAsia="微软雅黑" w:cs="Times New Roman"/>
          <w:b/>
          <w:kern w:val="2"/>
          <w:sz w:val="52"/>
          <w:szCs w:val="28"/>
          <w:lang w:val="en-US" w:eastAsia="zh-CN" w:bidi="ar-SA"/>
        </w:rPr>
        <w:t>4</w:t>
      </w:r>
      <w:r>
        <w:rPr>
          <w:rFonts w:ascii="Times New Roman" w:hAnsi="Times New Roman" w:eastAsia="微软雅黑" w:cs="Times New Roman"/>
          <w:b/>
          <w:kern w:val="2"/>
          <w:sz w:val="52"/>
          <w:szCs w:val="28"/>
          <w:lang w:val="en-US" w:eastAsia="zh-CN" w:bidi="ar-SA"/>
        </w:rPr>
        <w:t>年自主智能机器人大赛</w:t>
      </w:r>
    </w:p>
    <w:p>
      <w:pPr>
        <w:spacing w:line="360" w:lineRule="auto"/>
        <w:jc w:val="center"/>
        <w:rPr>
          <w:rFonts w:ascii="Times New Roman" w:hAnsi="Times New Roman" w:eastAsia="微软雅黑" w:cs="Times New Roman"/>
          <w:b/>
          <w:kern w:val="2"/>
          <w:sz w:val="72"/>
          <w:szCs w:val="36"/>
          <w:lang w:val="en-US" w:eastAsia="zh-CN" w:bidi="ar-SA"/>
        </w:rPr>
      </w:pPr>
      <w:r>
        <w:rPr>
          <w:rFonts w:ascii="Times New Roman" w:hAnsi="Times New Roman" w:eastAsia="微软雅黑" w:cs="Times New Roman"/>
          <w:b/>
          <w:kern w:val="2"/>
          <w:sz w:val="72"/>
          <w:szCs w:val="36"/>
          <w:lang w:val="en-US" w:eastAsia="zh-CN" w:bidi="ar-SA"/>
        </w:rPr>
        <w:t>Running-Robot 202</w:t>
      </w:r>
      <w:r>
        <w:rPr>
          <w:rFonts w:hint="eastAsia" w:ascii="Times New Roman" w:hAnsi="Times New Roman" w:eastAsia="微软雅黑" w:cs="Times New Roman"/>
          <w:b/>
          <w:kern w:val="2"/>
          <w:sz w:val="72"/>
          <w:szCs w:val="36"/>
          <w:lang w:val="en-US" w:eastAsia="zh-CN" w:bidi="ar-SA"/>
        </w:rPr>
        <w:t>4</w:t>
      </w:r>
    </w:p>
    <w:p>
      <w:pPr>
        <w:spacing w:before="120" w:after="120" w:line="288" w:lineRule="auto"/>
        <w:ind w:left="0" w:firstLine="0"/>
        <w:jc w:val="center"/>
      </w:pPr>
    </w:p>
    <w:p>
      <w:pPr>
        <w:spacing w:before="120" w:after="120" w:line="288" w:lineRule="auto"/>
        <w:ind w:left="0"/>
        <w:jc w:val="center"/>
      </w:pPr>
      <w:r>
        <w:drawing>
          <wp:inline distT="0" distB="0" distL="0" distR="0">
            <wp:extent cx="5257800" cy="3810000"/>
            <wp:effectExtent l="0" t="0" r="0" b="0"/>
            <wp:docPr id="1" name="Draw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after="120" w:line="288" w:lineRule="auto"/>
        <w:ind w:left="0" w:firstLine="0"/>
        <w:jc w:val="center"/>
      </w:pPr>
    </w:p>
    <w:p>
      <w:pPr>
        <w:spacing w:before="120" w:after="120" w:line="288" w:lineRule="auto"/>
        <w:ind w:left="0" w:firstLine="0"/>
        <w:jc w:val="center"/>
      </w:pPr>
      <w:r>
        <w:rPr>
          <w:rFonts w:ascii="Arial" w:hAnsi="Arial" w:eastAsia="等线" w:cs="Arial"/>
          <w:b/>
          <w:sz w:val="22"/>
        </w:rPr>
        <w:t>竞速赛-规则和安排</w:t>
      </w:r>
    </w:p>
    <w:p>
      <w:pPr>
        <w:spacing w:before="120" w:after="120" w:line="288" w:lineRule="auto"/>
        <w:ind w:left="0" w:firstLine="0"/>
        <w:jc w:val="center"/>
      </w:pPr>
      <w:r>
        <w:rPr>
          <w:rFonts w:ascii="Arial" w:hAnsi="Arial" w:eastAsia="等线" w:cs="Arial"/>
          <w:b/>
          <w:sz w:val="22"/>
        </w:rPr>
        <w:t>V1.1</w:t>
      </w:r>
    </w:p>
    <w:p>
      <w:pPr>
        <w:pBdr>
          <w:bottom w:val="single" w:color="DEE0E3" w:sz="2" w:space="0"/>
          <w:between w:val="single" w:color="DEE0E3" w:sz="2" w:space="0"/>
        </w:pBdr>
        <w:spacing w:before="120" w:after="120" w:line="288" w:lineRule="auto"/>
        <w:ind w:left="0"/>
      </w:pPr>
    </w:p>
    <w:p>
      <w:pPr>
        <w:spacing w:before="380" w:after="140" w:line="288" w:lineRule="auto"/>
        <w:ind w:left="0"/>
        <w:jc w:val="center"/>
        <w:outlineLvl w:val="0"/>
      </w:pPr>
      <w:bookmarkStart w:id="0" w:name="heading_0"/>
      <w:r>
        <w:rPr>
          <w:rFonts w:ascii="Arial" w:hAnsi="Arial" w:eastAsia="等线" w:cs="Arial"/>
          <w:b/>
          <w:sz w:val="36"/>
        </w:rPr>
        <w:t>第一章   比赛规则</w:t>
      </w:r>
      <w:bookmarkEnd w:id="0"/>
    </w:p>
    <w:p>
      <w:pPr>
        <w:spacing w:before="320" w:after="120" w:line="288" w:lineRule="auto"/>
        <w:ind w:left="0"/>
        <w:jc w:val="left"/>
        <w:outlineLvl w:val="1"/>
      </w:pPr>
      <w:bookmarkStart w:id="1" w:name="heading_1"/>
      <w:r>
        <w:rPr>
          <w:rFonts w:ascii="Arial" w:hAnsi="Arial" w:eastAsia="等线" w:cs="Arial"/>
          <w:b/>
          <w:sz w:val="32"/>
        </w:rPr>
        <w:t>1.参赛团队和参赛机器人</w:t>
      </w:r>
      <w:bookmarkEnd w:id="1"/>
    </w:p>
    <w:p>
      <w:pPr>
        <w:spacing w:before="120" w:after="120" w:line="288" w:lineRule="auto"/>
        <w:ind w:left="0" w:firstLine="0"/>
        <w:jc w:val="left"/>
      </w:pPr>
      <w:r>
        <w:rPr>
          <w:rFonts w:ascii="Arial" w:hAnsi="Arial" w:eastAsia="等线" w:cs="Arial"/>
          <w:sz w:val="22"/>
        </w:rPr>
        <w:t>有参加竞速赛意愿者，自行组织参赛团队，向大赛组委会报名参加比赛。</w:t>
      </w:r>
    </w:p>
    <w:p>
      <w:pPr>
        <w:spacing w:before="120" w:after="120" w:line="288" w:lineRule="auto"/>
        <w:ind w:left="0" w:firstLine="0"/>
        <w:jc w:val="left"/>
      </w:pPr>
      <w:r>
        <w:rPr>
          <w:rFonts w:ascii="Arial" w:hAnsi="Arial" w:eastAsia="等线" w:cs="Arial"/>
          <w:sz w:val="22"/>
        </w:rPr>
        <w:t>每个参赛团队的人数应不多于6人（5名队员和1名指导老师）。</w:t>
      </w:r>
    </w:p>
    <w:p>
      <w:pPr>
        <w:spacing w:before="120" w:after="120" w:line="288" w:lineRule="auto"/>
        <w:ind w:left="0" w:firstLine="0"/>
        <w:jc w:val="left"/>
      </w:pPr>
      <w:r>
        <w:rPr>
          <w:rFonts w:ascii="Arial" w:hAnsi="Arial" w:eastAsia="等线" w:cs="Arial"/>
          <w:sz w:val="22"/>
        </w:rPr>
        <w:t>参加竞速赛的机器人必须是，能在复杂环境中、根据具体环境情况、自主且智能地（即在没有人工干预的条件下采取行动）、完成直立行走和其它行动任务的机器人。“机器人直立行走”指机器人模拟人类、以只用脚底（不用其它部位）接触地面并支撑整个身体的行走方式、在赛道上运动。</w:t>
      </w:r>
    </w:p>
    <w:p>
      <w:pPr>
        <w:spacing w:before="120" w:after="120" w:line="288" w:lineRule="auto"/>
        <w:ind w:left="0" w:firstLine="0"/>
        <w:jc w:val="left"/>
      </w:pPr>
      <w:r>
        <w:rPr>
          <w:rFonts w:ascii="Arial" w:hAnsi="Arial" w:eastAsia="等线" w:cs="Arial"/>
          <w:sz w:val="22"/>
        </w:rPr>
        <w:t>参赛机器人可以是大赛组委会提供的或自带的小型足式机器人平台。</w:t>
      </w:r>
    </w:p>
    <w:p>
      <w:pPr>
        <w:spacing w:before="120" w:after="120" w:line="288" w:lineRule="auto"/>
        <w:ind w:left="0" w:firstLine="0"/>
        <w:jc w:val="left"/>
      </w:pPr>
      <w:r>
        <w:rPr>
          <w:rFonts w:ascii="Arial" w:hAnsi="Arial" w:eastAsia="等线" w:cs="Arial"/>
          <w:sz w:val="22"/>
        </w:rPr>
        <w:t>自带的小型足式机器人平台需满足以下条件：</w:t>
      </w:r>
    </w:p>
    <w:p>
      <w:pPr>
        <w:numPr>
          <w:ilvl w:val="0"/>
          <w:numId w:val="1"/>
        </w:numPr>
        <w:spacing w:before="120" w:after="120" w:line="288" w:lineRule="auto"/>
        <w:ind w:left="453"/>
        <w:jc w:val="left"/>
      </w:pPr>
      <w:r>
        <w:rPr>
          <w:rFonts w:ascii="Arial" w:hAnsi="Arial" w:eastAsia="等线" w:cs="Arial"/>
          <w:sz w:val="22"/>
        </w:rPr>
        <w:t>机器人身高不得超过40cm；</w:t>
      </w:r>
    </w:p>
    <w:p>
      <w:pPr>
        <w:numPr>
          <w:ilvl w:val="0"/>
          <w:numId w:val="2"/>
        </w:numPr>
        <w:spacing w:before="120" w:after="120" w:line="288" w:lineRule="auto"/>
        <w:ind w:left="453"/>
        <w:jc w:val="left"/>
      </w:pPr>
      <w:r>
        <w:rPr>
          <w:rFonts w:ascii="Arial" w:hAnsi="Arial" w:eastAsia="等线" w:cs="Arial"/>
          <w:sz w:val="22"/>
        </w:rPr>
        <w:t>机器人应是双足机器人，不能是轮式或者其他形式的机器人；</w:t>
      </w:r>
    </w:p>
    <w:p>
      <w:pPr>
        <w:numPr>
          <w:ilvl w:val="0"/>
          <w:numId w:val="3"/>
        </w:numPr>
        <w:spacing w:before="120" w:after="120" w:line="288" w:lineRule="auto"/>
        <w:ind w:left="453"/>
        <w:jc w:val="left"/>
      </w:pPr>
      <w:r>
        <w:rPr>
          <w:rFonts w:ascii="Arial" w:hAnsi="Arial" w:eastAsia="等线" w:cs="Arial"/>
          <w:sz w:val="22"/>
        </w:rPr>
        <w:t>机器人需要向大赛组委会报备、确认和批准。</w:t>
      </w:r>
    </w:p>
    <w:p>
      <w:pPr>
        <w:spacing w:before="320" w:after="120" w:line="288" w:lineRule="auto"/>
        <w:ind w:left="0"/>
        <w:jc w:val="left"/>
        <w:outlineLvl w:val="1"/>
      </w:pPr>
      <w:bookmarkStart w:id="2" w:name="heading_2"/>
      <w:r>
        <w:rPr>
          <w:rFonts w:ascii="Arial" w:hAnsi="Arial" w:eastAsia="等线" w:cs="Arial"/>
          <w:b/>
          <w:sz w:val="32"/>
        </w:rPr>
        <w:t>2.赛项简介</w:t>
      </w:r>
      <w:bookmarkEnd w:id="2"/>
    </w:p>
    <w:p>
      <w:pPr>
        <w:spacing w:before="120" w:after="120" w:line="288" w:lineRule="auto"/>
        <w:ind w:left="0" w:firstLine="0"/>
        <w:jc w:val="left"/>
      </w:pPr>
      <w:r>
        <w:rPr>
          <w:rFonts w:ascii="Arial" w:hAnsi="Arial" w:eastAsia="等线" w:cs="Arial"/>
          <w:sz w:val="22"/>
        </w:rPr>
        <w:t>比赛场景是模仿体育运动中田径短跑项目，双足机器人在竞速赛道上完成竞速比赛。比赛成绩取决于机器人的行进速度和行走距离。</w:t>
      </w:r>
    </w:p>
    <w:p>
      <w:pPr>
        <w:spacing w:before="320" w:after="120" w:line="288" w:lineRule="auto"/>
        <w:ind w:left="0"/>
        <w:jc w:val="left"/>
        <w:outlineLvl w:val="1"/>
      </w:pPr>
      <w:bookmarkStart w:id="3" w:name="heading_3"/>
      <w:r>
        <w:rPr>
          <w:rFonts w:ascii="Arial" w:hAnsi="Arial" w:eastAsia="等线" w:cs="Arial"/>
          <w:b/>
          <w:sz w:val="32"/>
        </w:rPr>
        <w:t>3.赛项说明</w:t>
      </w:r>
      <w:bookmarkEnd w:id="3"/>
    </w:p>
    <w:p>
      <w:pPr>
        <w:spacing w:before="300" w:after="120" w:line="288" w:lineRule="auto"/>
        <w:ind w:left="0"/>
        <w:jc w:val="left"/>
        <w:outlineLvl w:val="2"/>
      </w:pPr>
      <w:bookmarkStart w:id="4" w:name="heading_4"/>
      <w:r>
        <w:rPr>
          <w:rFonts w:ascii="Arial" w:hAnsi="Arial" w:eastAsia="等线" w:cs="Arial"/>
          <w:b/>
          <w:sz w:val="30"/>
        </w:rPr>
        <w:t>3.1场地</w:t>
      </w:r>
      <w:bookmarkEnd w:id="4"/>
    </w:p>
    <w:p>
      <w:pPr>
        <w:spacing w:before="120" w:after="120" w:line="288" w:lineRule="auto"/>
        <w:ind w:left="0" w:firstLine="0"/>
        <w:jc w:val="left"/>
      </w:pPr>
      <w:r>
        <w:rPr>
          <w:rFonts w:ascii="Arial" w:hAnsi="Arial" w:eastAsia="等线" w:cs="Arial"/>
          <w:sz w:val="22"/>
        </w:rPr>
        <w:t>机器人竞速跑道材质是pvc塑料板材聚氯乙烯片。跑道长度范围在5-10米，宽为40厘米，跑道主体颜色为红色，两侧粘有宽度5厘米的白色边缘线，边缘线材质是布基胶带。比赛场地内铺设若干条赛道，赛道间距为1米。起跑指示灯的摆放位置纵向距离出发点</w:t>
      </w:r>
      <w:r>
        <w:rPr>
          <w:rFonts w:ascii="Arial" w:hAnsi="Arial" w:eastAsia="等线" w:cs="Arial"/>
          <w:color w:val="D83931"/>
          <w:sz w:val="22"/>
        </w:rPr>
        <w:t>1米</w:t>
      </w:r>
      <w:r>
        <w:rPr>
          <w:rFonts w:ascii="Arial" w:hAnsi="Arial" w:eastAsia="等线" w:cs="Arial"/>
          <w:sz w:val="22"/>
        </w:rPr>
        <w:t>，横向距离赛道边缘</w:t>
      </w:r>
      <w:r>
        <w:rPr>
          <w:rFonts w:ascii="Arial" w:hAnsi="Arial" w:eastAsia="等线" w:cs="Arial"/>
          <w:color w:val="D83931"/>
          <w:sz w:val="22"/>
        </w:rPr>
        <w:t>30厘米</w:t>
      </w:r>
      <w:r>
        <w:rPr>
          <w:rFonts w:ascii="Arial" w:hAnsi="Arial" w:eastAsia="等线" w:cs="Arial"/>
          <w:sz w:val="22"/>
        </w:rPr>
        <w:t>。场地平面图见图1，赛道示意图见图2 。</w:t>
      </w:r>
    </w:p>
    <w:p>
      <w:pPr>
        <w:spacing w:before="120" w:after="120" w:line="288" w:lineRule="auto"/>
        <w:ind w:left="0"/>
        <w:jc w:val="center"/>
      </w:pPr>
      <w:r>
        <w:drawing>
          <wp:inline distT="0" distB="0" distL="0" distR="0">
            <wp:extent cx="5257800" cy="3505200"/>
            <wp:effectExtent l="0" t="0" r="0" b="0"/>
            <wp:docPr id="2" name="Draw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after="120" w:line="288" w:lineRule="auto"/>
        <w:ind w:left="0"/>
        <w:jc w:val="left"/>
      </w:pPr>
    </w:p>
    <w:tbl>
      <w:tblPr>
        <w:tblStyle w:val="2"/>
        <w:tblW w:w="0" w:type="auto"/>
        <w:tblInd w:w="0" w:type="dxa"/>
        <w:tblBorders>
          <w:top w:val="single" w:color="DEE0E3" w:sz="0" w:space="0"/>
          <w:left w:val="single" w:color="DEE0E3" w:sz="0" w:space="0"/>
          <w:bottom w:val="single" w:color="DEE0E3" w:sz="0" w:space="0"/>
          <w:right w:val="single" w:color="DEE0E3" w:sz="0" w:space="0"/>
          <w:insideH w:val="single" w:color="DEE0E3" w:sz="0" w:space="0"/>
          <w:insideV w:val="single" w:color="DEE0E3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80"/>
      </w:tblGrid>
      <w:tr>
        <w:tblPrEx>
          <w:tblBorders>
            <w:top w:val="single" w:color="DEE0E3" w:sz="0" w:space="0"/>
            <w:left w:val="single" w:color="DEE0E3" w:sz="0" w:space="0"/>
            <w:bottom w:val="single" w:color="DEE0E3" w:sz="0" w:space="0"/>
            <w:right w:val="single" w:color="DEE0E3" w:sz="0" w:space="0"/>
            <w:insideH w:val="single" w:color="DEE0E3" w:sz="0" w:space="0"/>
            <w:insideV w:val="single" w:color="DEE0E3" w:sz="0" w:space="0"/>
          </w:tblBorders>
        </w:tblPrEx>
        <w:tc>
          <w:tcPr>
            <w:tcW w:w="8280" w:type="dxa"/>
            <w:tcMar>
              <w:top w:w="60" w:type="dxa"/>
              <w:left w:w="120" w:type="dxa"/>
              <w:bottom w:w="30" w:type="dxa"/>
              <w:right w:w="120" w:type="dxa"/>
            </w:tcMar>
          </w:tcPr>
          <w:p>
            <w:pPr>
              <w:spacing w:before="120" w:after="120" w:line="288" w:lineRule="auto"/>
              <w:ind w:left="0" w:firstLine="0"/>
              <w:jc w:val="center"/>
            </w:pPr>
            <w:r>
              <w:rPr>
                <w:rFonts w:ascii="Arial" w:hAnsi="Arial" w:eastAsia="等线" w:cs="Arial"/>
                <w:sz w:val="22"/>
              </w:rPr>
              <w:t>图1 比赛场地平面图</w:t>
            </w:r>
          </w:p>
        </w:tc>
      </w:tr>
    </w:tbl>
    <w:p>
      <w:pPr>
        <w:spacing w:before="120" w:after="120" w:line="288" w:lineRule="auto"/>
        <w:ind w:left="0" w:firstLine="0"/>
        <w:jc w:val="left"/>
      </w:pPr>
      <w:r>
        <w:rPr>
          <w:rFonts w:ascii="Arial" w:hAnsi="Arial" w:eastAsia="等线" w:cs="Arial"/>
          <w:sz w:val="22"/>
        </w:rPr>
        <w:t>机器人竞速场地设在室内，赛场光照条件为冷光源，低照度。两个赛道之间用警戒绳隔离，防止机器人串道。</w:t>
      </w:r>
    </w:p>
    <w:p>
      <w:pPr>
        <w:spacing w:before="120" w:after="120" w:line="288" w:lineRule="auto"/>
        <w:ind w:left="0"/>
        <w:jc w:val="left"/>
      </w:pPr>
      <w:r>
        <w:drawing>
          <wp:inline distT="0" distB="0" distL="0" distR="0">
            <wp:extent cx="5257800" cy="1171575"/>
            <wp:effectExtent l="0" t="0" r="0" b="1905"/>
            <wp:docPr id="3" name="Draw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after="120" w:line="288" w:lineRule="auto"/>
        <w:ind w:left="0" w:firstLine="0"/>
        <w:jc w:val="center"/>
      </w:pPr>
      <w:r>
        <w:rPr>
          <w:rFonts w:ascii="Arial" w:hAnsi="Arial" w:eastAsia="等线" w:cs="Arial"/>
          <w:sz w:val="22"/>
        </w:rPr>
        <w:t>图2 机器人竞速比赛跑道</w:t>
      </w:r>
    </w:p>
    <w:p>
      <w:pPr>
        <w:spacing w:before="300" w:after="120" w:line="288" w:lineRule="auto"/>
        <w:ind w:left="0"/>
        <w:jc w:val="left"/>
        <w:outlineLvl w:val="2"/>
      </w:pPr>
      <w:bookmarkStart w:id="5" w:name="heading_5"/>
      <w:r>
        <w:rPr>
          <w:rFonts w:ascii="Arial" w:hAnsi="Arial" w:eastAsia="等线" w:cs="Arial"/>
          <w:b/>
          <w:sz w:val="30"/>
        </w:rPr>
        <w:t>3.2任务要求</w:t>
      </w:r>
      <w:bookmarkEnd w:id="5"/>
    </w:p>
    <w:p>
      <w:pPr>
        <w:spacing w:before="120" w:after="120" w:line="288" w:lineRule="auto"/>
        <w:ind w:left="0"/>
        <w:jc w:val="left"/>
      </w:pPr>
      <w:r>
        <w:rPr>
          <w:rFonts w:ascii="Arial" w:hAnsi="Arial" w:eastAsia="等线" w:cs="Arial"/>
          <w:sz w:val="22"/>
        </w:rPr>
        <w:t>机器人开始比赛的摆放位置为起点线的正中间，双足与起跑线平齐，身体正面面向前方。</w:t>
      </w:r>
    </w:p>
    <w:p>
      <w:pPr>
        <w:spacing w:before="120" w:after="120" w:line="288" w:lineRule="auto"/>
        <w:ind w:left="0"/>
        <w:jc w:val="left"/>
      </w:pPr>
      <w:r>
        <w:rPr>
          <w:rFonts w:ascii="Arial" w:hAnsi="Arial" w:eastAsia="等线" w:cs="Arial"/>
          <w:sz w:val="22"/>
        </w:rPr>
        <w:t>选手应将程序设置为开机自启动状态。参赛机器人在上场后操作员应只允许开启机器人的电源开关，摆放到指定的起始位置。机器人的运行程序随开机自启动，自主完成赛道任务。</w:t>
      </w:r>
    </w:p>
    <w:p>
      <w:pPr>
        <w:spacing w:before="120" w:after="120" w:line="288" w:lineRule="auto"/>
        <w:ind w:left="0" w:firstLine="0"/>
        <w:jc w:val="left"/>
      </w:pPr>
      <w:r>
        <w:rPr>
          <w:rFonts w:ascii="Arial" w:hAnsi="Arial" w:eastAsia="等线" w:cs="Arial"/>
          <w:sz w:val="22"/>
        </w:rPr>
        <w:t>参赛队员先抽取道次，将机器人放置在相应的起跑点上，红灯灭绿灯点亮后，开始计时。起跑指示灯靠近赛道左侧边界线，距离起跑线1米远（见图2），机器人从起跑线出发后，必须使用双足直立步行方式，沿跑道行进到终点。</w:t>
      </w:r>
    </w:p>
    <w:p>
      <w:pPr>
        <w:spacing w:before="120" w:after="120" w:line="288" w:lineRule="auto"/>
        <w:ind w:left="0" w:firstLine="0"/>
        <w:jc w:val="left"/>
      </w:pPr>
      <w:r>
        <w:rPr>
          <w:rFonts w:ascii="Arial" w:hAnsi="Arial" w:eastAsia="等线" w:cs="Arial"/>
          <w:sz w:val="22"/>
        </w:rPr>
        <w:t>比赛限时3分钟。机器人行进过程中如在赛道内摔倒，必须重新站立后继续使用直立步行方式完成比赛。机器人跑出边界线后，则比赛结束，裁判记录对应的行走距离和行走时间。</w:t>
      </w:r>
    </w:p>
    <w:p>
      <w:pPr>
        <w:spacing w:before="320" w:after="120" w:line="288" w:lineRule="auto"/>
        <w:ind w:left="0"/>
        <w:jc w:val="left"/>
        <w:outlineLvl w:val="1"/>
      </w:pPr>
      <w:bookmarkStart w:id="6" w:name="heading_6"/>
      <w:r>
        <w:rPr>
          <w:rFonts w:ascii="Arial" w:hAnsi="Arial" w:eastAsia="等线" w:cs="Arial"/>
          <w:b/>
          <w:sz w:val="32"/>
        </w:rPr>
        <w:t>4.计分方法</w:t>
      </w:r>
      <w:bookmarkEnd w:id="6"/>
    </w:p>
    <w:p>
      <w:pPr>
        <w:spacing w:before="120" w:after="120" w:line="288" w:lineRule="auto"/>
        <w:ind w:left="0" w:firstLine="0"/>
        <w:jc w:val="left"/>
      </w:pPr>
      <w:r>
        <w:rPr>
          <w:rFonts w:ascii="Arial" w:hAnsi="Arial" w:eastAsia="等线" w:cs="Arial"/>
          <w:sz w:val="22"/>
        </w:rPr>
        <w:t>●每队有两次比赛机会，取最好成绩。</w:t>
      </w:r>
    </w:p>
    <w:p>
      <w:pPr>
        <w:spacing w:before="120" w:after="120" w:line="288" w:lineRule="auto"/>
        <w:ind w:left="0" w:firstLine="0"/>
        <w:jc w:val="left"/>
      </w:pPr>
      <w:r>
        <w:rPr>
          <w:rFonts w:ascii="Arial" w:hAnsi="Arial" w:eastAsia="等线" w:cs="Arial"/>
          <w:sz w:val="22"/>
        </w:rPr>
        <w:t>●机器人如果在3分钟内跑到终点，按照到达终点时间记录。</w:t>
      </w:r>
    </w:p>
    <w:p>
      <w:pPr>
        <w:spacing w:before="120" w:after="120" w:line="288" w:lineRule="auto"/>
        <w:ind w:left="0" w:firstLine="0"/>
        <w:jc w:val="left"/>
      </w:pPr>
      <w:r>
        <w:rPr>
          <w:rFonts w:ascii="Arial" w:hAnsi="Arial" w:eastAsia="等线" w:cs="Arial"/>
          <w:sz w:val="22"/>
        </w:rPr>
        <w:t>●如果机器人3分钟内没到达终点，行走时间记为3分钟</w:t>
      </w:r>
      <w:r>
        <w:rPr>
          <w:rFonts w:ascii="Arial" w:hAnsi="Arial" w:eastAsia="等线" w:cs="Arial"/>
          <w:sz w:val="22"/>
        </w:rPr>
        <w:cr/>
      </w:r>
      <w:r>
        <w:rPr>
          <w:rFonts w:ascii="Arial" w:hAnsi="Arial" w:eastAsia="等线" w:cs="Arial"/>
          <w:sz w:val="22"/>
        </w:rPr>
        <w:t>。</w:t>
      </w:r>
    </w:p>
    <w:p>
      <w:pPr>
        <w:spacing w:before="120" w:after="120" w:line="288" w:lineRule="auto"/>
        <w:ind w:left="0" w:firstLine="0"/>
        <w:jc w:val="left"/>
      </w:pPr>
      <w:r>
        <w:rPr>
          <w:rFonts w:ascii="Arial" w:hAnsi="Arial" w:eastAsia="等线" w:cs="Arial"/>
          <w:sz w:val="22"/>
        </w:rPr>
        <w:t>●机器人跑出赛道（机器人身体全部脱离边界线），则结束比赛，按照机器人脱离赛道前的距离计分。</w:t>
      </w:r>
    </w:p>
    <w:p>
      <w:pPr>
        <w:spacing w:before="120" w:after="120" w:line="288" w:lineRule="auto"/>
        <w:ind w:left="0" w:firstLine="0"/>
        <w:jc w:val="left"/>
      </w:pPr>
      <w:r>
        <w:rPr>
          <w:rFonts w:ascii="Arial" w:hAnsi="Arial" w:eastAsia="等线" w:cs="Arial"/>
          <w:sz w:val="22"/>
        </w:rPr>
        <w:t>●对赛道以外环境没有特别限制。</w:t>
      </w:r>
    </w:p>
    <w:p>
      <w:pPr>
        <w:spacing w:before="120" w:after="120" w:line="288" w:lineRule="auto"/>
        <w:ind w:left="0" w:firstLine="0"/>
        <w:jc w:val="left"/>
      </w:pPr>
      <w:r>
        <w:rPr>
          <w:rFonts w:ascii="Arial" w:hAnsi="Arial" w:eastAsia="等线" w:cs="Arial"/>
          <w:sz w:val="22"/>
        </w:rPr>
        <w:t>规则中没有说明的事项由竞赛裁判委员会决定。</w:t>
      </w:r>
    </w:p>
    <w:p>
      <w:pPr>
        <w:spacing w:before="120" w:after="120" w:line="288" w:lineRule="auto"/>
        <w:ind w:left="0" w:firstLine="0"/>
        <w:jc w:val="left"/>
      </w:pPr>
    </w:p>
    <w:sectPr>
      <w:headerReference r:id="rId3" w:type="default"/>
      <w:footerReference r:id="rId4" w:type="default"/>
      <w:pgSz w:w="11905" w:h="1684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2"/>
      <w:numFmt w:val="lowerLetter"/>
      <w:lvlText w:val="%1."/>
      <w:lvlJc w:val="left"/>
      <w:rPr>
        <w:color w:val="3370FF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lowerLetter"/>
      <w:lvlText w:val="%1."/>
      <w:lvlJc w:val="left"/>
      <w:rPr>
        <w:color w:val="3370FF"/>
      </w:rPr>
    </w:lvl>
  </w:abstractNum>
  <w:abstractNum w:abstractNumId="2">
    <w:nsid w:val="59ADCABA"/>
    <w:multiLevelType w:val="singleLevel"/>
    <w:tmpl w:val="59ADCABA"/>
    <w:lvl w:ilvl="0" w:tentative="0">
      <w:start w:val="3"/>
      <w:numFmt w:val="lowerLetter"/>
      <w:lvlText w:val="%1."/>
      <w:lvlJc w:val="left"/>
      <w:rPr>
        <w:color w:val="3370FF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ZGI4NWI5NGVlZWE5MTU2MzcxOWFiMDNiMDMzNmYifQ=="/>
  </w:docVars>
  <w:rsids>
    <w:rsidRoot w:val="00000000"/>
    <w:rsid w:val="34B36604"/>
    <w:rsid w:val="7CF94A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2024-04-18T02:30:00Z</dcterms:created>
  <dc:creator>Apache POI</dc:creator>
  <cp:lastModifiedBy>Jin</cp:lastModifiedBy>
  <dcterms:modified xsi:type="dcterms:W3CDTF">2024-04-18T02:32:19Z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92546F28B681436AA9A610AF8A81D0F4_13</vt:lpwstr>
  </property>
</Properties>
</file>